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2552"/>
        <w:gridCol w:w="6946"/>
      </w:tblGrid>
      <w:tr w:rsidR="009F65ED" w14:paraId="00A4959C" w14:textId="77777777">
        <w:trPr>
          <w:trHeight w:val="851"/>
        </w:trPr>
        <w:tc>
          <w:tcPr>
            <w:tcW w:w="426" w:type="dxa"/>
            <w:tcBorders>
              <w:bottom w:val="single" w:sz="4" w:space="0" w:color="auto"/>
            </w:tcBorders>
            <w:shd w:val="clear" w:color="auto" w:fill="auto"/>
            <w:vAlign w:val="center"/>
          </w:tcPr>
          <w:p w14:paraId="3B7E7A81" w14:textId="77777777" w:rsidR="009F65ED" w:rsidRDefault="009F65ED" w:rsidP="009F65ED">
            <w:pPr>
              <w:jc w:val="center"/>
            </w:pPr>
          </w:p>
        </w:tc>
        <w:tc>
          <w:tcPr>
            <w:tcW w:w="2552" w:type="dxa"/>
            <w:vMerge w:val="restart"/>
            <w:vAlign w:val="center"/>
          </w:tcPr>
          <w:p w14:paraId="7E2E6B7E" w14:textId="77777777" w:rsidR="009F65ED" w:rsidRDefault="00130DF0" w:rsidP="004301F7">
            <w:r>
              <w:rPr>
                <w:noProof/>
              </w:rPr>
              <w:drawing>
                <wp:inline distT="0" distB="0" distL="0" distR="0" wp14:anchorId="080E50B7" wp14:editId="283B30EF">
                  <wp:extent cx="1571625" cy="771525"/>
                  <wp:effectExtent l="0" t="0" r="9525" b="9525"/>
                  <wp:docPr id="1" name="Bild 1" descr="eks tan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s tanze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771525"/>
                          </a:xfrm>
                          <a:prstGeom prst="rect">
                            <a:avLst/>
                          </a:prstGeom>
                          <a:noFill/>
                          <a:ln>
                            <a:noFill/>
                          </a:ln>
                        </pic:spPr>
                      </pic:pic>
                    </a:graphicData>
                  </a:graphic>
                </wp:inline>
              </w:drawing>
            </w:r>
          </w:p>
        </w:tc>
        <w:tc>
          <w:tcPr>
            <w:tcW w:w="6946" w:type="dxa"/>
            <w:tcBorders>
              <w:bottom w:val="single" w:sz="4" w:space="0" w:color="auto"/>
            </w:tcBorders>
          </w:tcPr>
          <w:p w14:paraId="55DECFA9" w14:textId="77777777" w:rsidR="009F65ED" w:rsidRPr="00D47BB5" w:rsidRDefault="009F65ED" w:rsidP="00C36DA0">
            <w:pPr>
              <w:jc w:val="right"/>
              <w:rPr>
                <w:rFonts w:ascii="Verdana" w:hAnsi="Verdana" w:cs="Arial"/>
                <w:sz w:val="48"/>
                <w:szCs w:val="48"/>
              </w:rPr>
            </w:pPr>
            <w:proofErr w:type="gramStart"/>
            <w:r w:rsidRPr="00D47BB5">
              <w:rPr>
                <w:rFonts w:ascii="Verdana" w:hAnsi="Verdana" w:cs="Arial"/>
                <w:sz w:val="48"/>
                <w:szCs w:val="48"/>
              </w:rPr>
              <w:t>Erich Kästner-Schule</w:t>
            </w:r>
            <w:proofErr w:type="gramEnd"/>
          </w:p>
          <w:p w14:paraId="5FD16F38" w14:textId="77777777" w:rsidR="009F65ED" w:rsidRPr="00D47BB5" w:rsidRDefault="009F65ED" w:rsidP="00C36DA0">
            <w:pPr>
              <w:spacing w:after="440"/>
              <w:jc w:val="right"/>
              <w:rPr>
                <w:rFonts w:ascii="Verdana" w:hAnsi="Verdana" w:cs="Arial"/>
                <w:sz w:val="22"/>
                <w:szCs w:val="22"/>
              </w:rPr>
            </w:pPr>
            <w:r w:rsidRPr="00D47BB5">
              <w:rPr>
                <w:rFonts w:ascii="Verdana" w:hAnsi="Verdana" w:cs="Arial"/>
                <w:sz w:val="22"/>
                <w:szCs w:val="22"/>
              </w:rPr>
              <w:t>Förder</w:t>
            </w:r>
            <w:r w:rsidR="00AB4DA8">
              <w:rPr>
                <w:rFonts w:ascii="Verdana" w:hAnsi="Verdana" w:cs="Arial"/>
                <w:sz w:val="22"/>
                <w:szCs w:val="22"/>
              </w:rPr>
              <w:t>zentrum</w:t>
            </w:r>
          </w:p>
        </w:tc>
      </w:tr>
      <w:tr w:rsidR="009F65ED" w14:paraId="04ED9646" w14:textId="77777777">
        <w:tc>
          <w:tcPr>
            <w:tcW w:w="426" w:type="dxa"/>
            <w:tcBorders>
              <w:top w:val="single" w:sz="4" w:space="0" w:color="auto"/>
            </w:tcBorders>
            <w:shd w:val="clear" w:color="auto" w:fill="auto"/>
          </w:tcPr>
          <w:p w14:paraId="450C221E" w14:textId="77777777" w:rsidR="009F65ED" w:rsidRDefault="009F65ED"/>
        </w:tc>
        <w:tc>
          <w:tcPr>
            <w:tcW w:w="2552" w:type="dxa"/>
            <w:vMerge/>
          </w:tcPr>
          <w:p w14:paraId="7D85A553" w14:textId="77777777" w:rsidR="009F65ED" w:rsidRDefault="009F65ED"/>
        </w:tc>
        <w:tc>
          <w:tcPr>
            <w:tcW w:w="6946" w:type="dxa"/>
            <w:tcBorders>
              <w:top w:val="single" w:sz="4" w:space="0" w:color="auto"/>
            </w:tcBorders>
          </w:tcPr>
          <w:p w14:paraId="0B2450F3" w14:textId="77777777" w:rsidR="009F65ED" w:rsidRPr="009F65ED" w:rsidRDefault="009F65ED" w:rsidP="00C36DA0">
            <w:pPr>
              <w:spacing w:before="60"/>
              <w:ind w:left="34"/>
              <w:jc w:val="right"/>
              <w:rPr>
                <w:rFonts w:ascii="Verdana" w:hAnsi="Verdana"/>
                <w:sz w:val="16"/>
                <w:szCs w:val="16"/>
              </w:rPr>
            </w:pPr>
            <w:r w:rsidRPr="009F65ED">
              <w:rPr>
                <w:rFonts w:ascii="Verdana" w:hAnsi="Verdana" w:cs="Arial"/>
                <w:sz w:val="16"/>
                <w:szCs w:val="16"/>
              </w:rPr>
              <w:t>Ackerstraße 8 • 28832 Achim • Tel.: 04202 / 88 32 0 • Fax: 04202 / 88 32 16 foerderzentrum@eksachim.de</w:t>
            </w:r>
          </w:p>
          <w:p w14:paraId="0B422E0E" w14:textId="77777777" w:rsidR="009F65ED" w:rsidRPr="00D47BB5" w:rsidRDefault="009F65ED">
            <w:pPr>
              <w:rPr>
                <w:rFonts w:ascii="Verdana" w:hAnsi="Verdana"/>
                <w:sz w:val="18"/>
                <w:szCs w:val="18"/>
              </w:rPr>
            </w:pPr>
          </w:p>
        </w:tc>
      </w:tr>
    </w:tbl>
    <w:p w14:paraId="29AA9DF9" w14:textId="7354A7B8" w:rsidR="00C36DA0" w:rsidRDefault="00C36DA0"/>
    <w:p w14:paraId="11B34518" w14:textId="256E57F4" w:rsidR="00A95767" w:rsidRDefault="00A95767"/>
    <w:p w14:paraId="1530E1E4" w14:textId="0F56AECA" w:rsidR="00A95767" w:rsidRDefault="00A95767"/>
    <w:p w14:paraId="0B7C2F63" w14:textId="77777777" w:rsidR="00A95767" w:rsidRDefault="00A95767"/>
    <w:p w14:paraId="1F01184F" w14:textId="48563BAC" w:rsidR="00C36DA0" w:rsidRPr="00FF55E2" w:rsidRDefault="00323E38">
      <w:pPr>
        <w:rPr>
          <w:rFonts w:ascii="Verdana" w:hAnsi="Verdana"/>
          <w:b/>
          <w:bCs/>
          <w:sz w:val="22"/>
          <w:szCs w:val="22"/>
        </w:rPr>
      </w:pPr>
      <w:r w:rsidRPr="00FF55E2">
        <w:rPr>
          <w:rFonts w:ascii="Verdana" w:hAnsi="Verdana"/>
          <w:b/>
          <w:bCs/>
          <w:sz w:val="22"/>
          <w:szCs w:val="22"/>
        </w:rPr>
        <w:t xml:space="preserve">Handout sonderpädagogische </w:t>
      </w:r>
      <w:r w:rsidR="00103695">
        <w:rPr>
          <w:rFonts w:ascii="Verdana" w:hAnsi="Verdana"/>
          <w:b/>
          <w:bCs/>
          <w:sz w:val="22"/>
          <w:szCs w:val="22"/>
        </w:rPr>
        <w:t>Förder</w:t>
      </w:r>
      <w:r w:rsidRPr="00FF55E2">
        <w:rPr>
          <w:rFonts w:ascii="Verdana" w:hAnsi="Verdana"/>
          <w:b/>
          <w:bCs/>
          <w:sz w:val="22"/>
          <w:szCs w:val="22"/>
        </w:rPr>
        <w:t>gutachten 2022</w:t>
      </w:r>
    </w:p>
    <w:p w14:paraId="423C239F" w14:textId="6BEF0AC0" w:rsidR="00323E38" w:rsidRDefault="00323E38">
      <w:pPr>
        <w:rPr>
          <w:rFonts w:ascii="Verdana" w:hAnsi="Verdana"/>
          <w:sz w:val="20"/>
          <w:szCs w:val="20"/>
        </w:rPr>
      </w:pPr>
    </w:p>
    <w:p w14:paraId="4271423F" w14:textId="77777777" w:rsidR="000D56FB" w:rsidRPr="002A7CA4" w:rsidRDefault="000D56FB">
      <w:pPr>
        <w:rPr>
          <w:rFonts w:ascii="Verdana" w:hAnsi="Verdana"/>
          <w:b/>
          <w:bCs/>
          <w:sz w:val="20"/>
          <w:szCs w:val="20"/>
        </w:rPr>
      </w:pPr>
    </w:p>
    <w:p w14:paraId="4C7C6016" w14:textId="52DEA51E" w:rsidR="00D72F9F" w:rsidRPr="002A7CA4" w:rsidRDefault="00D72F9F">
      <w:pPr>
        <w:rPr>
          <w:rFonts w:ascii="Verdana" w:hAnsi="Verdana"/>
          <w:b/>
          <w:bCs/>
          <w:sz w:val="20"/>
          <w:szCs w:val="20"/>
        </w:rPr>
      </w:pPr>
      <w:r w:rsidRPr="002A7CA4">
        <w:rPr>
          <w:rFonts w:ascii="Verdana" w:hAnsi="Verdana"/>
          <w:b/>
          <w:bCs/>
          <w:sz w:val="20"/>
          <w:szCs w:val="20"/>
        </w:rPr>
        <w:t xml:space="preserve">Neue Verordnung und </w:t>
      </w:r>
      <w:r w:rsidR="00D92093" w:rsidRPr="002A7CA4">
        <w:rPr>
          <w:rFonts w:ascii="Verdana" w:hAnsi="Verdana"/>
          <w:b/>
          <w:bCs/>
          <w:sz w:val="20"/>
          <w:szCs w:val="20"/>
        </w:rPr>
        <w:t xml:space="preserve">Ergänzende </w:t>
      </w:r>
      <w:r w:rsidRPr="002A7CA4">
        <w:rPr>
          <w:rFonts w:ascii="Verdana" w:hAnsi="Verdana"/>
          <w:b/>
          <w:bCs/>
          <w:sz w:val="20"/>
          <w:szCs w:val="20"/>
        </w:rPr>
        <w:t>Bestimmung</w:t>
      </w:r>
      <w:r w:rsidR="00D92093" w:rsidRPr="002A7CA4">
        <w:rPr>
          <w:rFonts w:ascii="Verdana" w:hAnsi="Verdana"/>
          <w:b/>
          <w:bCs/>
          <w:sz w:val="20"/>
          <w:szCs w:val="20"/>
        </w:rPr>
        <w:t>en (Bezug)</w:t>
      </w:r>
      <w:r w:rsidRPr="002A7CA4">
        <w:rPr>
          <w:rFonts w:ascii="Verdana" w:hAnsi="Verdana"/>
          <w:b/>
          <w:bCs/>
          <w:sz w:val="20"/>
          <w:szCs w:val="20"/>
        </w:rPr>
        <w:t>:</w:t>
      </w:r>
    </w:p>
    <w:p w14:paraId="3AF6EB0D" w14:textId="3A34BA17" w:rsidR="002F3761" w:rsidRPr="002F3761" w:rsidRDefault="002F3761" w:rsidP="002F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DA415D5" w14:textId="77777777" w:rsidR="002F3761" w:rsidRPr="002F3761" w:rsidRDefault="002F3761" w:rsidP="002F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r w:rsidRPr="002F3761">
        <w:rPr>
          <w:rFonts w:ascii="Verdana" w:hAnsi="Verdana" w:cs="Courier New"/>
          <w:sz w:val="20"/>
          <w:szCs w:val="20"/>
        </w:rPr>
        <w:t>a) Verordnung zur Feststellung eines Bedarfs an sonderpädagogischer Unterstützung vom 02.07.2021 (</w:t>
      </w:r>
      <w:proofErr w:type="spellStart"/>
      <w:r w:rsidRPr="002F3761">
        <w:rPr>
          <w:rFonts w:ascii="Verdana" w:hAnsi="Verdana" w:cs="Courier New"/>
          <w:sz w:val="20"/>
          <w:szCs w:val="20"/>
        </w:rPr>
        <w:t>Nds</w:t>
      </w:r>
      <w:proofErr w:type="spellEnd"/>
      <w:r w:rsidRPr="002F3761">
        <w:rPr>
          <w:rFonts w:ascii="Verdana" w:hAnsi="Verdana" w:cs="Courier New"/>
          <w:sz w:val="20"/>
          <w:szCs w:val="20"/>
        </w:rPr>
        <w:t>. GVBl. S. 506)</w:t>
      </w:r>
    </w:p>
    <w:p w14:paraId="0AE66A7E" w14:textId="0EB43D11" w:rsidR="002F3761" w:rsidRPr="002A7CA4" w:rsidRDefault="002F3761" w:rsidP="002F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r w:rsidRPr="002F3761">
        <w:rPr>
          <w:rFonts w:ascii="Verdana" w:hAnsi="Verdana" w:cs="Courier New"/>
          <w:sz w:val="20"/>
          <w:szCs w:val="20"/>
        </w:rPr>
        <w:t>b) Ergänzende Bestimmungen zur Verordnung zur Feststellung eines Bedarfs an sonderpädagogischer Unterstützung vom 01.08.2021 (</w:t>
      </w:r>
      <w:proofErr w:type="spellStart"/>
      <w:r w:rsidRPr="002F3761">
        <w:rPr>
          <w:rFonts w:ascii="Verdana" w:hAnsi="Verdana" w:cs="Courier New"/>
          <w:sz w:val="20"/>
          <w:szCs w:val="20"/>
        </w:rPr>
        <w:t>SVBl</w:t>
      </w:r>
      <w:proofErr w:type="spellEnd"/>
      <w:r w:rsidRPr="002F3761">
        <w:rPr>
          <w:rFonts w:ascii="Verdana" w:hAnsi="Verdana" w:cs="Courier New"/>
          <w:sz w:val="20"/>
          <w:szCs w:val="20"/>
        </w:rPr>
        <w:t xml:space="preserve">. 08/2021, S. 399) - VORIS 22410 </w:t>
      </w:r>
      <w:r w:rsidR="00FF55E2" w:rsidRPr="002A7CA4">
        <w:rPr>
          <w:rFonts w:ascii="Verdana" w:hAnsi="Verdana" w:cs="Courier New"/>
          <w:sz w:val="20"/>
          <w:szCs w:val="20"/>
        </w:rPr>
        <w:t>–</w:t>
      </w:r>
    </w:p>
    <w:p w14:paraId="56877613" w14:textId="245EFF6F" w:rsidR="00323E38" w:rsidRPr="002A7CA4" w:rsidRDefault="00FF55E2" w:rsidP="00FF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r w:rsidRPr="002A7CA4">
        <w:rPr>
          <w:rFonts w:ascii="Verdana" w:hAnsi="Verdana" w:cs="Courier New"/>
          <w:sz w:val="20"/>
          <w:szCs w:val="20"/>
        </w:rPr>
        <w:t>c) Handreichungen für die Strukturierung von Beratungsgutachten (15.10.2021)</w:t>
      </w:r>
    </w:p>
    <w:p w14:paraId="6B7A1C77" w14:textId="46A2E496" w:rsidR="00D72F9F" w:rsidRPr="002A7CA4" w:rsidRDefault="00D72F9F" w:rsidP="00FF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bCs/>
          <w:sz w:val="20"/>
          <w:szCs w:val="20"/>
        </w:rPr>
      </w:pPr>
    </w:p>
    <w:p w14:paraId="722822EF" w14:textId="13D3D4AE" w:rsidR="00D72F9F" w:rsidRPr="00D72F9F" w:rsidRDefault="00D72F9F" w:rsidP="00FF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r w:rsidRPr="002A7CA4">
        <w:rPr>
          <w:rFonts w:ascii="Verdana" w:hAnsi="Verdana" w:cs="Courier New"/>
          <w:b/>
          <w:bCs/>
          <w:sz w:val="20"/>
          <w:szCs w:val="20"/>
        </w:rPr>
        <w:t>Grundsätzliches bleibt:</w:t>
      </w:r>
      <w:r>
        <w:rPr>
          <w:rFonts w:ascii="Verdana" w:hAnsi="Verdana" w:cs="Courier New"/>
          <w:sz w:val="20"/>
          <w:szCs w:val="20"/>
        </w:rPr>
        <w:br/>
      </w:r>
    </w:p>
    <w:p w14:paraId="3AFC8175" w14:textId="150495AF" w:rsidR="00D72F9F" w:rsidRPr="002A7CA4" w:rsidRDefault="00D72F9F" w:rsidP="00FF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r w:rsidRPr="002A7CA4">
        <w:rPr>
          <w:rFonts w:ascii="Verdana" w:hAnsi="Verdana" w:cs="Courier New"/>
          <w:sz w:val="20"/>
          <w:szCs w:val="20"/>
        </w:rPr>
        <w:t xml:space="preserve">Individuelle Förderung und Unterstützung ist laut </w:t>
      </w:r>
      <w:proofErr w:type="spellStart"/>
      <w:r w:rsidRPr="002A7CA4">
        <w:rPr>
          <w:rFonts w:ascii="Verdana" w:hAnsi="Verdana" w:cs="Courier New"/>
          <w:sz w:val="20"/>
          <w:szCs w:val="20"/>
        </w:rPr>
        <w:t>NSchG</w:t>
      </w:r>
      <w:proofErr w:type="spellEnd"/>
      <w:r w:rsidRPr="002A7CA4">
        <w:rPr>
          <w:rFonts w:ascii="Verdana" w:hAnsi="Verdana" w:cs="Courier New"/>
          <w:sz w:val="20"/>
          <w:szCs w:val="20"/>
        </w:rPr>
        <w:t xml:space="preserve"> nicht gebunden an die Feststellung eines Bedarfes an sonderpädagogischer Unterstützung und gemeinsame Aufgabe aller Lehrkräfte. Die Feststellung eines Bedarfes an sonderpädagogischer Unterstützung ist daher grundsätzlich die Ausnahme, die entsprechend hergeleitet und begründet sein muss.  </w:t>
      </w:r>
    </w:p>
    <w:p w14:paraId="4CE92F51" w14:textId="28C90A80" w:rsidR="00FF55E2" w:rsidRPr="00D72F9F" w:rsidRDefault="00FF55E2" w:rsidP="00FF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p>
    <w:p w14:paraId="43A487CC" w14:textId="19FA78E6" w:rsidR="00FF55E2" w:rsidRDefault="00FF55E2" w:rsidP="00FF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38FCD696" w14:textId="64B45C94" w:rsidR="00FF55E2" w:rsidRPr="002A7CA4" w:rsidRDefault="00C0303F" w:rsidP="00FF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bCs/>
          <w:sz w:val="20"/>
          <w:szCs w:val="20"/>
        </w:rPr>
      </w:pPr>
      <w:r w:rsidRPr="002A7CA4">
        <w:rPr>
          <w:rFonts w:ascii="Verdana" w:hAnsi="Verdana" w:cs="Courier New"/>
          <w:b/>
          <w:bCs/>
          <w:sz w:val="20"/>
          <w:szCs w:val="20"/>
        </w:rPr>
        <w:t xml:space="preserve">Das ist </w:t>
      </w:r>
      <w:r w:rsidR="00ED4964">
        <w:rPr>
          <w:rFonts w:ascii="Verdana" w:hAnsi="Verdana" w:cs="Courier New"/>
          <w:b/>
          <w:bCs/>
          <w:sz w:val="20"/>
          <w:szCs w:val="20"/>
        </w:rPr>
        <w:t xml:space="preserve">neu, </w:t>
      </w:r>
      <w:r w:rsidRPr="002A7CA4">
        <w:rPr>
          <w:rFonts w:ascii="Verdana" w:hAnsi="Verdana" w:cs="Courier New"/>
          <w:b/>
          <w:bCs/>
          <w:sz w:val="20"/>
          <w:szCs w:val="20"/>
        </w:rPr>
        <w:t>anders</w:t>
      </w:r>
      <w:r w:rsidR="000D56FB" w:rsidRPr="002A7CA4">
        <w:rPr>
          <w:rFonts w:ascii="Verdana" w:hAnsi="Verdana" w:cs="Courier New"/>
          <w:b/>
          <w:bCs/>
          <w:sz w:val="20"/>
          <w:szCs w:val="20"/>
        </w:rPr>
        <w:t xml:space="preserve"> oder deutlicher</w:t>
      </w:r>
      <w:r w:rsidRPr="002A7CA4">
        <w:rPr>
          <w:rFonts w:ascii="Verdana" w:hAnsi="Verdana" w:cs="Courier New"/>
          <w:b/>
          <w:bCs/>
          <w:sz w:val="20"/>
          <w:szCs w:val="20"/>
        </w:rPr>
        <w:t>:</w:t>
      </w:r>
    </w:p>
    <w:p w14:paraId="12E42C3B" w14:textId="56818F86" w:rsidR="00C0303F" w:rsidRDefault="00C0303F" w:rsidP="00FF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p>
    <w:p w14:paraId="436BFB72" w14:textId="793DBA8A" w:rsidR="00C0303F" w:rsidRPr="002A7CA4" w:rsidRDefault="00C0303F" w:rsidP="00D92093">
      <w:pPr>
        <w:pStyle w:val="Listenabsatz"/>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sz w:val="20"/>
          <w:szCs w:val="20"/>
        </w:rPr>
      </w:pPr>
      <w:r w:rsidRPr="002A7CA4">
        <w:rPr>
          <w:rFonts w:ascii="Verdana" w:hAnsi="Verdana" w:cs="Courier New"/>
          <w:sz w:val="20"/>
          <w:szCs w:val="20"/>
        </w:rPr>
        <w:t>Veranlasst die SL ein Fördergutachten, werden die Erziehungsberechtigen darüber unverzüglich unterrichtet. Nach Fertigstellung erhalten sie durch die SL das Fördergutachten und das Angebot eines Gespräches darüber</w:t>
      </w:r>
      <w:r w:rsidR="00994236">
        <w:rPr>
          <w:rFonts w:ascii="Verdana" w:hAnsi="Verdana" w:cs="Courier New"/>
          <w:sz w:val="20"/>
          <w:szCs w:val="20"/>
        </w:rPr>
        <w:t>. Das Gespräch wird ggf. formlos protokolliert.</w:t>
      </w:r>
      <w:r w:rsidR="00ED4964">
        <w:rPr>
          <w:rFonts w:ascii="Verdana" w:hAnsi="Verdana" w:cs="Courier New"/>
          <w:sz w:val="20"/>
          <w:szCs w:val="20"/>
        </w:rPr>
        <w:t xml:space="preserve"> </w:t>
      </w:r>
      <w:r w:rsidRPr="00ED4964">
        <w:rPr>
          <w:rFonts w:ascii="Verdana" w:hAnsi="Verdana" w:cs="Courier New"/>
          <w:sz w:val="20"/>
          <w:szCs w:val="20"/>
          <w:u w:val="single"/>
        </w:rPr>
        <w:t>I</w:t>
      </w:r>
      <w:r w:rsidRPr="002A7CA4">
        <w:rPr>
          <w:rFonts w:ascii="Verdana" w:hAnsi="Verdana" w:cs="Courier New"/>
          <w:sz w:val="20"/>
          <w:szCs w:val="20"/>
          <w:u w:val="single"/>
        </w:rPr>
        <w:t>nnerha</w:t>
      </w:r>
      <w:r w:rsidR="007B1D5A" w:rsidRPr="002A7CA4">
        <w:rPr>
          <w:rFonts w:ascii="Verdana" w:hAnsi="Verdana" w:cs="Courier New"/>
          <w:sz w:val="20"/>
          <w:szCs w:val="20"/>
          <w:u w:val="single"/>
        </w:rPr>
        <w:t>l</w:t>
      </w:r>
      <w:r w:rsidRPr="002A7CA4">
        <w:rPr>
          <w:rFonts w:ascii="Verdana" w:hAnsi="Verdana" w:cs="Courier New"/>
          <w:sz w:val="20"/>
          <w:szCs w:val="20"/>
          <w:u w:val="single"/>
        </w:rPr>
        <w:t xml:space="preserve">b von zwei </w:t>
      </w:r>
      <w:r w:rsidR="00994236">
        <w:rPr>
          <w:rFonts w:ascii="Verdana" w:hAnsi="Verdana" w:cs="Courier New"/>
          <w:sz w:val="20"/>
          <w:szCs w:val="20"/>
          <w:u w:val="single"/>
        </w:rPr>
        <w:t xml:space="preserve">Wochen </w:t>
      </w:r>
      <w:r w:rsidRPr="002A7CA4">
        <w:rPr>
          <w:rFonts w:ascii="Verdana" w:hAnsi="Verdana" w:cs="Courier New"/>
          <w:sz w:val="20"/>
          <w:szCs w:val="20"/>
          <w:u w:val="single"/>
        </w:rPr>
        <w:t>nach der Bekanntgabe des Gutachtens können die</w:t>
      </w:r>
      <w:r w:rsidR="007B1D5A" w:rsidRPr="002A7CA4">
        <w:rPr>
          <w:rFonts w:ascii="Verdana" w:hAnsi="Verdana" w:cs="Courier New"/>
          <w:sz w:val="20"/>
          <w:szCs w:val="20"/>
          <w:u w:val="single"/>
        </w:rPr>
        <w:t xml:space="preserve"> Erziehungsberechtigten bei der SL die Einsetzung einer Förderkommission verlangen</w:t>
      </w:r>
      <w:r w:rsidR="007B1D5A" w:rsidRPr="002A7CA4">
        <w:rPr>
          <w:rFonts w:ascii="Verdana" w:hAnsi="Verdana" w:cs="Courier New"/>
          <w:sz w:val="20"/>
          <w:szCs w:val="20"/>
        </w:rPr>
        <w:t xml:space="preserve">. Unterbleibt dies, übersendet die SL das Fördergutachten </w:t>
      </w:r>
      <w:r w:rsidR="005F0BE8" w:rsidRPr="002A7CA4">
        <w:rPr>
          <w:rFonts w:ascii="Verdana" w:hAnsi="Verdana" w:cs="Courier New"/>
          <w:sz w:val="20"/>
          <w:szCs w:val="20"/>
        </w:rPr>
        <w:t xml:space="preserve">nach Fristablauf </w:t>
      </w:r>
      <w:r w:rsidR="007B1D5A" w:rsidRPr="002A7CA4">
        <w:rPr>
          <w:rFonts w:ascii="Verdana" w:hAnsi="Verdana" w:cs="Courier New"/>
          <w:sz w:val="20"/>
          <w:szCs w:val="20"/>
        </w:rPr>
        <w:t>an die nachgeordnete Behörde.</w:t>
      </w:r>
      <w:r w:rsidRPr="002A7CA4">
        <w:rPr>
          <w:rFonts w:ascii="Verdana" w:hAnsi="Verdana" w:cs="Courier New"/>
          <w:sz w:val="20"/>
          <w:szCs w:val="20"/>
        </w:rPr>
        <w:t xml:space="preserve">  </w:t>
      </w:r>
    </w:p>
    <w:p w14:paraId="7556917B" w14:textId="4DA54A37" w:rsidR="007B1D5A" w:rsidRDefault="007B1D5A" w:rsidP="007B1D5A">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p>
    <w:p w14:paraId="3F3529FD" w14:textId="61134D22" w:rsidR="00994236" w:rsidRPr="00994236" w:rsidRDefault="007B1D5A" w:rsidP="00994236">
      <w:pPr>
        <w:pStyle w:val="Listenabsatz"/>
        <w:numPr>
          <w:ilvl w:val="0"/>
          <w:numId w:val="2"/>
        </w:numPr>
        <w:tabs>
          <w:tab w:val="left" w:pos="3664"/>
        </w:tabs>
        <w:rPr>
          <w:rFonts w:ascii="Verdana" w:hAnsi="Verdana" w:cs="Courier New"/>
          <w:sz w:val="20"/>
          <w:szCs w:val="20"/>
        </w:rPr>
      </w:pPr>
      <w:r w:rsidRPr="00994236">
        <w:rPr>
          <w:rFonts w:ascii="Verdana" w:hAnsi="Verdana" w:cs="Courier New"/>
          <w:sz w:val="20"/>
          <w:szCs w:val="20"/>
        </w:rPr>
        <w:t xml:space="preserve">Ein Bedarf an sonderpädagogischer Unterstützung </w:t>
      </w:r>
      <w:r w:rsidR="000D56FB" w:rsidRPr="00994236">
        <w:rPr>
          <w:rFonts w:ascii="Verdana" w:hAnsi="Verdana" w:cs="Courier New"/>
          <w:sz w:val="20"/>
          <w:szCs w:val="20"/>
        </w:rPr>
        <w:t xml:space="preserve">setzt </w:t>
      </w:r>
      <w:r w:rsidRPr="00994236">
        <w:rPr>
          <w:rFonts w:ascii="Verdana" w:hAnsi="Verdana" w:cs="Courier New"/>
          <w:sz w:val="20"/>
          <w:szCs w:val="20"/>
        </w:rPr>
        <w:t xml:space="preserve">langfristige Beeinträchtigungen in der Regel in Wechselwirkung </w:t>
      </w:r>
      <w:r w:rsidR="00D2111C" w:rsidRPr="00994236">
        <w:rPr>
          <w:rFonts w:ascii="Verdana" w:hAnsi="Verdana" w:cs="Courier New"/>
          <w:sz w:val="20"/>
          <w:szCs w:val="20"/>
        </w:rPr>
        <w:t xml:space="preserve">mit verschiedenen Barrieren im Umfeld voraus. Der individuelle Unterstützungsbedarf ist erkannt und </w:t>
      </w:r>
      <w:r w:rsidR="00D2111C" w:rsidRPr="00994236">
        <w:rPr>
          <w:rFonts w:ascii="Verdana" w:hAnsi="Verdana" w:cs="Courier New"/>
          <w:sz w:val="20"/>
          <w:szCs w:val="20"/>
          <w:u w:val="single"/>
        </w:rPr>
        <w:t>im Rahmen einer Förderplanung ausgewiesen</w:t>
      </w:r>
      <w:r w:rsidR="00A8409A" w:rsidRPr="00994236">
        <w:rPr>
          <w:rFonts w:ascii="Verdana" w:hAnsi="Verdana" w:cs="Courier New"/>
          <w:sz w:val="20"/>
          <w:szCs w:val="20"/>
        </w:rPr>
        <w:t xml:space="preserve">. </w:t>
      </w:r>
      <w:r w:rsidR="00994236" w:rsidRPr="00994236">
        <w:rPr>
          <w:rFonts w:ascii="Verdana" w:hAnsi="Verdana" w:cs="Courier New"/>
          <w:sz w:val="20"/>
          <w:szCs w:val="20"/>
        </w:rPr>
        <w:br/>
      </w:r>
    </w:p>
    <w:p w14:paraId="39A163EF" w14:textId="375A57A8" w:rsidR="00D2111C" w:rsidRPr="00994236" w:rsidRDefault="00994236" w:rsidP="00994236">
      <w:pPr>
        <w:pStyle w:val="Listenabsatz"/>
        <w:numPr>
          <w:ilvl w:val="0"/>
          <w:numId w:val="2"/>
        </w:numPr>
        <w:tabs>
          <w:tab w:val="left" w:pos="3664"/>
        </w:tabs>
        <w:rPr>
          <w:rFonts w:ascii="Verdana" w:hAnsi="Verdana" w:cs="Courier New"/>
          <w:sz w:val="20"/>
          <w:szCs w:val="20"/>
        </w:rPr>
      </w:pPr>
      <w:r w:rsidRPr="00994236">
        <w:rPr>
          <w:rFonts w:ascii="Verdana" w:hAnsi="Verdana" w:cs="Courier New"/>
          <w:sz w:val="20"/>
          <w:szCs w:val="20"/>
        </w:rPr>
        <w:t xml:space="preserve">Eine Phase der individuellen Förderplanung und Auswertung </w:t>
      </w:r>
      <w:r w:rsidRPr="00994236">
        <w:rPr>
          <w:rFonts w:ascii="Verdana" w:hAnsi="Verdana" w:cs="Courier New"/>
          <w:sz w:val="20"/>
          <w:szCs w:val="20"/>
          <w:u w:val="single"/>
        </w:rPr>
        <w:t>geht der Einleitung eines jeden Verfahrens voraus.</w:t>
      </w:r>
      <w:r w:rsidRPr="00994236">
        <w:rPr>
          <w:rFonts w:ascii="Verdana" w:hAnsi="Verdana" w:cs="Courier New"/>
          <w:sz w:val="20"/>
          <w:szCs w:val="20"/>
        </w:rPr>
        <w:t xml:space="preserve"> In dieser Phase wurden über einen angemessenen Zeitraum alle anderen schulischen Fördermaßnahmen ausgeschöpft. Das bedeutet, dass </w:t>
      </w:r>
      <w:r w:rsidRPr="00994236">
        <w:rPr>
          <w:rFonts w:ascii="Verdana" w:hAnsi="Verdana" w:cs="Courier New"/>
          <w:sz w:val="20"/>
          <w:szCs w:val="20"/>
          <w:u w:val="single"/>
        </w:rPr>
        <w:t>weitergehende Maßnahmen, als im bisherigen Unterricht</w:t>
      </w:r>
      <w:r w:rsidRPr="00994236">
        <w:rPr>
          <w:rFonts w:ascii="Verdana" w:hAnsi="Verdana" w:cs="Courier New"/>
          <w:sz w:val="20"/>
          <w:szCs w:val="20"/>
        </w:rPr>
        <w:t xml:space="preserve"> angewendet werden. Die Erziehungsberechtigten sind einzubeziehen.</w:t>
      </w:r>
    </w:p>
    <w:p w14:paraId="5A048E68" w14:textId="77777777" w:rsidR="00103695" w:rsidRPr="00103695" w:rsidRDefault="00103695" w:rsidP="00103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p>
    <w:p w14:paraId="6022FF1A" w14:textId="5AF8F817" w:rsidR="00D2111C" w:rsidRPr="002A7CA4" w:rsidRDefault="00D2111C" w:rsidP="007B1D5A">
      <w:pPr>
        <w:pStyle w:val="Listenabsatz"/>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u w:val="single"/>
        </w:rPr>
      </w:pPr>
      <w:r w:rsidRPr="002A7CA4">
        <w:rPr>
          <w:rFonts w:ascii="Verdana" w:hAnsi="Verdana" w:cs="Courier New"/>
          <w:sz w:val="20"/>
          <w:szCs w:val="20"/>
        </w:rPr>
        <w:t xml:space="preserve">Schwierigkeiten in </w:t>
      </w:r>
      <w:r w:rsidRPr="002A7CA4">
        <w:rPr>
          <w:rFonts w:ascii="Verdana" w:hAnsi="Verdana" w:cs="Courier New"/>
          <w:sz w:val="20"/>
          <w:szCs w:val="20"/>
          <w:u w:val="single"/>
        </w:rPr>
        <w:t>nur einem Bereich</w:t>
      </w:r>
      <w:r w:rsidRPr="002A7CA4">
        <w:rPr>
          <w:rFonts w:ascii="Verdana" w:hAnsi="Verdana" w:cs="Courier New"/>
          <w:sz w:val="20"/>
          <w:szCs w:val="20"/>
        </w:rPr>
        <w:t xml:space="preserve"> (z.B. Lesen, Rechtschreiben, Rechnen) führen ebenso wie nicht ausreichende Deutschkenntnisse </w:t>
      </w:r>
      <w:r w:rsidRPr="002A7CA4">
        <w:rPr>
          <w:rFonts w:ascii="Verdana" w:hAnsi="Verdana" w:cs="Courier New"/>
          <w:sz w:val="20"/>
          <w:szCs w:val="20"/>
          <w:u w:val="single"/>
        </w:rPr>
        <w:t>nicht zu sonderpädagogischer Unterstützung.</w:t>
      </w:r>
    </w:p>
    <w:p w14:paraId="2CA9C9B5" w14:textId="65DA9E7A" w:rsidR="00D2111C" w:rsidRPr="002A7CA4" w:rsidRDefault="007B1D5A" w:rsidP="002A7CA4">
      <w:pPr>
        <w:pStyle w:val="Listenabsatz"/>
        <w:tabs>
          <w:tab w:val="left" w:pos="3664"/>
        </w:tabs>
        <w:rPr>
          <w:rFonts w:ascii="Verdana" w:hAnsi="Verdana" w:cs="Courier New"/>
          <w:sz w:val="20"/>
          <w:szCs w:val="20"/>
        </w:rPr>
      </w:pPr>
      <w:r>
        <w:rPr>
          <w:rFonts w:ascii="Verdana" w:hAnsi="Verdana" w:cs="Courier New"/>
          <w:sz w:val="20"/>
          <w:szCs w:val="20"/>
        </w:rPr>
        <w:tab/>
      </w:r>
    </w:p>
    <w:p w14:paraId="523619B3" w14:textId="3C1A7006" w:rsidR="00792B4C" w:rsidRPr="002A7CA4" w:rsidRDefault="00D2111C" w:rsidP="002A7CA4">
      <w:pPr>
        <w:pStyle w:val="Listenabsatz"/>
        <w:numPr>
          <w:ilvl w:val="0"/>
          <w:numId w:val="2"/>
        </w:numPr>
        <w:tabs>
          <w:tab w:val="left" w:pos="3664"/>
        </w:tabs>
        <w:rPr>
          <w:rFonts w:ascii="Verdana" w:hAnsi="Verdana" w:cs="Courier New"/>
          <w:sz w:val="20"/>
          <w:szCs w:val="20"/>
        </w:rPr>
      </w:pPr>
      <w:r w:rsidRPr="002A7CA4">
        <w:rPr>
          <w:rFonts w:ascii="Verdana" w:hAnsi="Verdana" w:cs="Courier New"/>
          <w:sz w:val="20"/>
          <w:szCs w:val="20"/>
        </w:rPr>
        <w:lastRenderedPageBreak/>
        <w:t>VOR Einschulung</w:t>
      </w:r>
      <w:r w:rsidR="00A75715" w:rsidRPr="002A7CA4">
        <w:rPr>
          <w:rFonts w:ascii="Verdana" w:hAnsi="Verdana" w:cs="Courier New"/>
          <w:sz w:val="20"/>
          <w:szCs w:val="20"/>
        </w:rPr>
        <w:t xml:space="preserve"> möglich</w:t>
      </w:r>
      <w:r w:rsidRPr="002A7CA4">
        <w:rPr>
          <w:rFonts w:ascii="Verdana" w:hAnsi="Verdana" w:cs="Courier New"/>
          <w:sz w:val="20"/>
          <w:szCs w:val="20"/>
        </w:rPr>
        <w:t>: GE, KME, HÖ, SE</w:t>
      </w:r>
      <w:r w:rsidR="00994236">
        <w:rPr>
          <w:rFonts w:ascii="Verdana" w:hAnsi="Verdana" w:cs="Courier New"/>
          <w:sz w:val="20"/>
          <w:szCs w:val="20"/>
        </w:rPr>
        <w:br/>
      </w:r>
      <w:r w:rsidR="000D56FB" w:rsidRPr="002A7CA4">
        <w:rPr>
          <w:rFonts w:ascii="Verdana" w:hAnsi="Verdana" w:cs="Courier New"/>
          <w:sz w:val="20"/>
          <w:szCs w:val="20"/>
        </w:rPr>
        <w:br/>
        <w:t xml:space="preserve">VOR Einschulung nach </w:t>
      </w:r>
      <w:r w:rsidR="00A75715" w:rsidRPr="002A7CA4">
        <w:rPr>
          <w:rFonts w:ascii="Verdana" w:hAnsi="Verdana" w:cs="Courier New"/>
          <w:sz w:val="20"/>
          <w:szCs w:val="20"/>
        </w:rPr>
        <w:t>sorgfältiger Prüfung vorab</w:t>
      </w:r>
      <w:r w:rsidR="00A8409A" w:rsidRPr="002A7CA4">
        <w:rPr>
          <w:rFonts w:ascii="Verdana" w:hAnsi="Verdana" w:cs="Courier New"/>
          <w:sz w:val="20"/>
          <w:szCs w:val="20"/>
        </w:rPr>
        <w:t xml:space="preserve"> möglich</w:t>
      </w:r>
      <w:r w:rsidR="000D56FB" w:rsidRPr="002A7CA4">
        <w:rPr>
          <w:rFonts w:ascii="Verdana" w:hAnsi="Verdana" w:cs="Courier New"/>
          <w:sz w:val="20"/>
          <w:szCs w:val="20"/>
        </w:rPr>
        <w:t xml:space="preserve">: SR und ES </w:t>
      </w:r>
      <w:r w:rsidR="00994236">
        <w:rPr>
          <w:rFonts w:ascii="Verdana" w:hAnsi="Verdana" w:cs="Courier New"/>
          <w:sz w:val="20"/>
          <w:szCs w:val="20"/>
        </w:rPr>
        <w:br/>
      </w:r>
      <w:r w:rsidR="000D56FB" w:rsidRPr="002A7CA4">
        <w:rPr>
          <w:rFonts w:ascii="Verdana" w:hAnsi="Verdana" w:cs="Courier New"/>
          <w:sz w:val="20"/>
          <w:szCs w:val="20"/>
        </w:rPr>
        <w:t>(hierzu Kontakt mit FÖS</w:t>
      </w:r>
      <w:r w:rsidR="00994236">
        <w:rPr>
          <w:rFonts w:ascii="Verdana" w:hAnsi="Verdana" w:cs="Courier New"/>
          <w:sz w:val="20"/>
          <w:szCs w:val="20"/>
        </w:rPr>
        <w:t>-</w:t>
      </w:r>
      <w:r w:rsidR="000D56FB" w:rsidRPr="002A7CA4">
        <w:rPr>
          <w:rFonts w:ascii="Verdana" w:hAnsi="Verdana" w:cs="Courier New"/>
          <w:sz w:val="20"/>
          <w:szCs w:val="20"/>
        </w:rPr>
        <w:t>L</w:t>
      </w:r>
      <w:r w:rsidR="00103695">
        <w:rPr>
          <w:rFonts w:ascii="Verdana" w:hAnsi="Verdana" w:cs="Courier New"/>
          <w:sz w:val="20"/>
          <w:szCs w:val="20"/>
        </w:rPr>
        <w:t>eitung</w:t>
      </w:r>
      <w:r w:rsidR="000D56FB" w:rsidRPr="002A7CA4">
        <w:rPr>
          <w:rFonts w:ascii="Verdana" w:hAnsi="Verdana" w:cs="Courier New"/>
          <w:sz w:val="20"/>
          <w:szCs w:val="20"/>
        </w:rPr>
        <w:t xml:space="preserve"> aufnehmen)</w:t>
      </w:r>
      <w:r w:rsidR="00B27E3E">
        <w:rPr>
          <w:rFonts w:ascii="Verdana" w:hAnsi="Verdana" w:cs="Courier New"/>
          <w:sz w:val="20"/>
          <w:szCs w:val="20"/>
        </w:rPr>
        <w:br/>
      </w:r>
      <w:r w:rsidR="002A7CA4">
        <w:rPr>
          <w:rFonts w:ascii="Verdana" w:hAnsi="Verdana" w:cs="Courier New"/>
          <w:sz w:val="20"/>
          <w:szCs w:val="20"/>
        </w:rPr>
        <w:br/>
      </w:r>
      <w:r w:rsidR="002A7CA4" w:rsidRPr="002A7CA4">
        <w:rPr>
          <w:rFonts w:ascii="Verdana" w:hAnsi="Verdana" w:cs="Courier New"/>
          <w:sz w:val="20"/>
          <w:szCs w:val="20"/>
        </w:rPr>
        <w:sym w:font="Wingdings" w:char="F0E8"/>
      </w:r>
      <w:r w:rsidR="002A7CA4">
        <w:rPr>
          <w:rFonts w:ascii="Verdana" w:hAnsi="Verdana" w:cs="Courier New"/>
          <w:sz w:val="20"/>
          <w:szCs w:val="20"/>
        </w:rPr>
        <w:t xml:space="preserve"> </w:t>
      </w:r>
      <w:r w:rsidR="00792B4C" w:rsidRPr="002A7CA4">
        <w:rPr>
          <w:rFonts w:ascii="Verdana" w:hAnsi="Verdana" w:cs="Courier New"/>
          <w:sz w:val="20"/>
          <w:szCs w:val="20"/>
        </w:rPr>
        <w:t>Entscheiden sich die Erziehungsberechtigten dafür, dass das Verfahren VOR Einschulung in einer Förderschule durchgeführt werden soll, erübrigt sich die Beteiligung einer Lehrkraft der allgemeinen Schule</w:t>
      </w:r>
      <w:r w:rsidR="002A7CA4">
        <w:rPr>
          <w:rFonts w:ascii="Verdana" w:hAnsi="Verdana" w:cs="Courier New"/>
          <w:sz w:val="20"/>
          <w:szCs w:val="20"/>
        </w:rPr>
        <w:t>.</w:t>
      </w:r>
      <w:r w:rsidR="00994236">
        <w:rPr>
          <w:rFonts w:ascii="Verdana" w:hAnsi="Verdana" w:cs="Courier New"/>
          <w:sz w:val="20"/>
          <w:szCs w:val="20"/>
        </w:rPr>
        <w:br/>
      </w:r>
    </w:p>
    <w:p w14:paraId="38D548FF" w14:textId="1F06C26F" w:rsidR="00F3595B" w:rsidRPr="00994236" w:rsidRDefault="00A75715" w:rsidP="00994236">
      <w:pPr>
        <w:pStyle w:val="Listenabsatz"/>
        <w:numPr>
          <w:ilvl w:val="0"/>
          <w:numId w:val="2"/>
        </w:numPr>
        <w:tabs>
          <w:tab w:val="left" w:pos="3664"/>
        </w:tabs>
        <w:rPr>
          <w:rFonts w:ascii="Verdana" w:hAnsi="Verdana" w:cs="Courier New"/>
          <w:sz w:val="20"/>
          <w:szCs w:val="20"/>
        </w:rPr>
      </w:pPr>
      <w:r w:rsidRPr="002A7CA4">
        <w:rPr>
          <w:rFonts w:ascii="Verdana" w:hAnsi="Verdana" w:cs="Courier New"/>
          <w:sz w:val="20"/>
          <w:szCs w:val="20"/>
          <w:u w:val="single"/>
        </w:rPr>
        <w:t xml:space="preserve">LE erstmalig </w:t>
      </w:r>
      <w:r w:rsidRPr="002A7CA4">
        <w:rPr>
          <w:rFonts w:ascii="Verdana" w:hAnsi="Verdana" w:cs="Courier New"/>
          <w:sz w:val="20"/>
          <w:szCs w:val="20"/>
        </w:rPr>
        <w:t>im 2. Schuljahr (Beginn zieldifferente Förderung ab 3. Schuljahr) und letztmalig ZUM 7. Schuljahr</w:t>
      </w:r>
      <w:r w:rsidR="0092607C" w:rsidRPr="002A7CA4">
        <w:rPr>
          <w:rFonts w:ascii="Verdana" w:hAnsi="Verdana" w:cs="Courier New"/>
          <w:sz w:val="20"/>
          <w:szCs w:val="20"/>
        </w:rPr>
        <w:br/>
      </w:r>
      <w:r w:rsidR="0092607C" w:rsidRPr="002A7CA4">
        <w:rPr>
          <w:rFonts w:ascii="Verdana" w:hAnsi="Verdana" w:cs="Courier New"/>
          <w:sz w:val="20"/>
          <w:szCs w:val="20"/>
        </w:rPr>
        <w:sym w:font="Wingdings" w:char="F0E8"/>
      </w:r>
      <w:r w:rsidR="0092607C" w:rsidRPr="002A7CA4">
        <w:rPr>
          <w:rFonts w:ascii="Verdana" w:hAnsi="Verdana" w:cs="Courier New"/>
          <w:sz w:val="20"/>
          <w:szCs w:val="20"/>
        </w:rPr>
        <w:t xml:space="preserve"> Die erstmalig</w:t>
      </w:r>
      <w:r w:rsidR="00103695">
        <w:rPr>
          <w:rFonts w:ascii="Verdana" w:hAnsi="Verdana" w:cs="Courier New"/>
          <w:sz w:val="20"/>
          <w:szCs w:val="20"/>
        </w:rPr>
        <w:t>e</w:t>
      </w:r>
      <w:r w:rsidR="0092607C" w:rsidRPr="002A7CA4">
        <w:rPr>
          <w:rFonts w:ascii="Verdana" w:hAnsi="Verdana" w:cs="Courier New"/>
          <w:sz w:val="20"/>
          <w:szCs w:val="20"/>
        </w:rPr>
        <w:t xml:space="preserve"> Feststellung in der 2. Klasse schließt NICHT aus, dass in den ersten beiden Schuljahren im Rahmen einer individuellen Förderplanung individuelle Anforderungen gestellt werden</w:t>
      </w:r>
      <w:r w:rsidR="002A7CA4" w:rsidRPr="002A7CA4">
        <w:rPr>
          <w:rFonts w:ascii="Verdana" w:hAnsi="Verdana" w:cs="Courier New"/>
          <w:sz w:val="20"/>
          <w:szCs w:val="20"/>
        </w:rPr>
        <w:t xml:space="preserve"> und somit passgenaue Unterstützung erfolgen kann.</w:t>
      </w:r>
      <w:r w:rsidR="0092607C" w:rsidRPr="002A7CA4">
        <w:rPr>
          <w:rFonts w:ascii="Verdana" w:hAnsi="Verdana" w:cs="Courier New"/>
          <w:sz w:val="20"/>
          <w:szCs w:val="20"/>
        </w:rPr>
        <w:t xml:space="preserve"> </w:t>
      </w:r>
      <w:r w:rsidRPr="002A7CA4">
        <w:rPr>
          <w:rFonts w:ascii="Verdana" w:hAnsi="Verdana" w:cs="Courier New"/>
          <w:sz w:val="20"/>
          <w:szCs w:val="20"/>
        </w:rPr>
        <w:t xml:space="preserve">  </w:t>
      </w:r>
    </w:p>
    <w:p w14:paraId="79035FE6" w14:textId="77777777" w:rsidR="005F0BE8" w:rsidRPr="000D56FB" w:rsidRDefault="005F0BE8" w:rsidP="005F0BE8">
      <w:pPr>
        <w:pStyle w:val="Listenabsatz"/>
        <w:rPr>
          <w:rFonts w:ascii="Courier New" w:hAnsi="Courier New" w:cs="Courier New"/>
          <w:sz w:val="20"/>
          <w:szCs w:val="20"/>
        </w:rPr>
      </w:pPr>
    </w:p>
    <w:p w14:paraId="01CECDA7" w14:textId="77777777" w:rsidR="005F0BE8" w:rsidRPr="002A7CA4" w:rsidRDefault="005F0BE8" w:rsidP="00F3595B">
      <w:pPr>
        <w:pStyle w:val="Listenabsatz"/>
        <w:numPr>
          <w:ilvl w:val="0"/>
          <w:numId w:val="2"/>
        </w:numPr>
        <w:tabs>
          <w:tab w:val="left" w:pos="3664"/>
        </w:tabs>
        <w:rPr>
          <w:rFonts w:ascii="Verdana" w:hAnsi="Verdana" w:cs="Courier New"/>
          <w:sz w:val="20"/>
          <w:szCs w:val="20"/>
        </w:rPr>
      </w:pPr>
      <w:r w:rsidRPr="002A7CA4">
        <w:rPr>
          <w:rFonts w:ascii="Verdana" w:hAnsi="Verdana" w:cs="Courier New"/>
          <w:sz w:val="20"/>
          <w:szCs w:val="20"/>
        </w:rPr>
        <w:t xml:space="preserve">Bei </w:t>
      </w:r>
      <w:r w:rsidRPr="002A7CA4">
        <w:rPr>
          <w:rFonts w:ascii="Verdana" w:hAnsi="Verdana" w:cs="Courier New"/>
          <w:sz w:val="20"/>
          <w:szCs w:val="20"/>
          <w:u w:val="single"/>
        </w:rPr>
        <w:t xml:space="preserve">Wechsel aus einem anderen Bundesland </w:t>
      </w:r>
      <w:r w:rsidRPr="002A7CA4">
        <w:rPr>
          <w:rFonts w:ascii="Verdana" w:hAnsi="Verdana" w:cs="Courier New"/>
          <w:sz w:val="20"/>
          <w:szCs w:val="20"/>
        </w:rPr>
        <w:t xml:space="preserve">ist </w:t>
      </w:r>
      <w:r w:rsidRPr="002A7CA4">
        <w:rPr>
          <w:rFonts w:ascii="Verdana" w:hAnsi="Verdana" w:cs="Courier New"/>
          <w:sz w:val="20"/>
          <w:szCs w:val="20"/>
          <w:u w:val="single"/>
        </w:rPr>
        <w:t>kein erneutes Fördergutachten notwendig</w:t>
      </w:r>
      <w:r w:rsidRPr="002A7CA4">
        <w:rPr>
          <w:rFonts w:ascii="Verdana" w:hAnsi="Verdana" w:cs="Courier New"/>
          <w:sz w:val="20"/>
          <w:szCs w:val="20"/>
        </w:rPr>
        <w:t>, wenn der festgestellte Bedarf einem niedersächsischen Förderschwerpunkt entspricht.</w:t>
      </w:r>
    </w:p>
    <w:p w14:paraId="75B42CB2" w14:textId="77777777" w:rsidR="005F0BE8" w:rsidRPr="000D56FB" w:rsidRDefault="005F0BE8" w:rsidP="005F0BE8">
      <w:pPr>
        <w:pStyle w:val="Listenabsatz"/>
        <w:rPr>
          <w:rFonts w:ascii="Courier New" w:hAnsi="Courier New" w:cs="Courier New"/>
          <w:sz w:val="20"/>
          <w:szCs w:val="20"/>
        </w:rPr>
      </w:pPr>
    </w:p>
    <w:p w14:paraId="23BAFA3E" w14:textId="25B0577A" w:rsidR="00A8409A" w:rsidRPr="002A7CA4" w:rsidRDefault="005F0BE8" w:rsidP="0092607C">
      <w:pPr>
        <w:pStyle w:val="Listenabsatz"/>
        <w:numPr>
          <w:ilvl w:val="0"/>
          <w:numId w:val="2"/>
        </w:numPr>
        <w:tabs>
          <w:tab w:val="left" w:pos="3664"/>
        </w:tabs>
        <w:rPr>
          <w:rFonts w:ascii="Verdana" w:hAnsi="Verdana" w:cs="Courier New"/>
          <w:sz w:val="20"/>
          <w:szCs w:val="20"/>
        </w:rPr>
      </w:pPr>
      <w:r w:rsidRPr="002A7CA4">
        <w:rPr>
          <w:rFonts w:ascii="Verdana" w:hAnsi="Verdana" w:cs="Courier New"/>
          <w:sz w:val="20"/>
          <w:szCs w:val="20"/>
        </w:rPr>
        <w:t>Vor dem Wechsel in den Sek.</w:t>
      </w:r>
      <w:r w:rsidR="00B27E3E">
        <w:rPr>
          <w:rFonts w:ascii="Verdana" w:hAnsi="Verdana" w:cs="Courier New"/>
          <w:sz w:val="20"/>
          <w:szCs w:val="20"/>
        </w:rPr>
        <w:t xml:space="preserve"> </w:t>
      </w:r>
      <w:r w:rsidRPr="002A7CA4">
        <w:rPr>
          <w:rFonts w:ascii="Verdana" w:hAnsi="Verdana" w:cs="Courier New"/>
          <w:sz w:val="20"/>
          <w:szCs w:val="20"/>
        </w:rPr>
        <w:t xml:space="preserve">I Bereich </w:t>
      </w:r>
      <w:r w:rsidR="00994236">
        <w:rPr>
          <w:rFonts w:ascii="Verdana" w:hAnsi="Verdana" w:cs="Courier New"/>
          <w:sz w:val="20"/>
          <w:szCs w:val="20"/>
        </w:rPr>
        <w:t xml:space="preserve">ist </w:t>
      </w:r>
      <w:r w:rsidRPr="002A7CA4">
        <w:rPr>
          <w:rFonts w:ascii="Verdana" w:hAnsi="Verdana" w:cs="Courier New"/>
          <w:sz w:val="20"/>
          <w:szCs w:val="20"/>
        </w:rPr>
        <w:t>zu beraten</w:t>
      </w:r>
      <w:r w:rsidR="00994236">
        <w:rPr>
          <w:rFonts w:ascii="Verdana" w:hAnsi="Verdana" w:cs="Courier New"/>
          <w:sz w:val="20"/>
          <w:szCs w:val="20"/>
        </w:rPr>
        <w:t xml:space="preserve"> </w:t>
      </w:r>
      <w:r w:rsidR="00994236" w:rsidRPr="002A7CA4">
        <w:rPr>
          <w:rFonts w:ascii="Verdana" w:hAnsi="Verdana" w:cs="Courier New"/>
          <w:sz w:val="20"/>
          <w:szCs w:val="20"/>
        </w:rPr>
        <w:t>(ZK im 1. Halbjahr)</w:t>
      </w:r>
      <w:r w:rsidRPr="002A7CA4">
        <w:rPr>
          <w:rFonts w:ascii="Verdana" w:hAnsi="Verdana" w:cs="Courier New"/>
          <w:sz w:val="20"/>
          <w:szCs w:val="20"/>
        </w:rPr>
        <w:t>, ob es Hinweise für eine Änderung/ den Wegfall eines sonderpädagogischen Unterstützungsbedarfes gibt. Die Entscheidung ist aktenkundig festzuhalten.</w:t>
      </w:r>
      <w:r w:rsidR="00B27E3E">
        <w:rPr>
          <w:rFonts w:ascii="Verdana" w:hAnsi="Verdana" w:cs="Courier New"/>
          <w:sz w:val="20"/>
          <w:szCs w:val="20"/>
        </w:rPr>
        <w:br/>
      </w:r>
      <w:r w:rsidR="00F3595B" w:rsidRPr="002A7CA4">
        <w:rPr>
          <w:rFonts w:ascii="Verdana" w:hAnsi="Verdana" w:cs="Courier New"/>
          <w:sz w:val="20"/>
          <w:szCs w:val="20"/>
        </w:rPr>
        <w:br/>
      </w:r>
      <w:r w:rsidRPr="002A7CA4">
        <w:rPr>
          <w:rFonts w:ascii="Verdana" w:hAnsi="Verdana" w:cs="Courier New"/>
          <w:sz w:val="20"/>
          <w:szCs w:val="20"/>
        </w:rPr>
        <w:t>Vor dem Wechsel an die BBS oder in den Sek. II Bereich</w:t>
      </w:r>
      <w:r w:rsidR="00806BA9" w:rsidRPr="002A7CA4">
        <w:rPr>
          <w:rFonts w:ascii="Verdana" w:hAnsi="Verdana" w:cs="Courier New"/>
          <w:sz w:val="20"/>
          <w:szCs w:val="20"/>
        </w:rPr>
        <w:t xml:space="preserve"> ist ebenso zu verfahren.</w:t>
      </w:r>
      <w:r w:rsidR="000D56FB" w:rsidRPr="002A7CA4">
        <w:rPr>
          <w:rFonts w:ascii="Verdana" w:hAnsi="Verdana" w:cs="Courier New"/>
          <w:sz w:val="20"/>
          <w:szCs w:val="20"/>
        </w:rPr>
        <w:br/>
      </w:r>
      <w:r w:rsidR="000D56FB" w:rsidRPr="002A7CA4">
        <w:rPr>
          <w:rFonts w:ascii="Verdana" w:hAnsi="Verdana" w:cs="Courier New"/>
          <w:sz w:val="20"/>
          <w:szCs w:val="20"/>
        </w:rPr>
        <w:sym w:font="Wingdings" w:char="F0E8"/>
      </w:r>
      <w:r w:rsidR="000D56FB" w:rsidRPr="002A7CA4">
        <w:rPr>
          <w:rFonts w:ascii="Verdana" w:hAnsi="Verdana" w:cs="Courier New"/>
          <w:sz w:val="20"/>
          <w:szCs w:val="20"/>
        </w:rPr>
        <w:t xml:space="preserve"> keine „Übergangsgutachten“ notwendig</w:t>
      </w:r>
      <w:r w:rsidR="0092607C" w:rsidRPr="002A7CA4">
        <w:rPr>
          <w:rFonts w:ascii="Verdana" w:hAnsi="Verdana" w:cs="Courier New"/>
          <w:sz w:val="20"/>
          <w:szCs w:val="20"/>
        </w:rPr>
        <w:br/>
      </w:r>
      <w:r w:rsidR="0092607C" w:rsidRPr="002A7CA4">
        <w:rPr>
          <w:rFonts w:ascii="Verdana" w:hAnsi="Verdana" w:cs="Courier New"/>
          <w:sz w:val="20"/>
          <w:szCs w:val="20"/>
        </w:rPr>
        <w:sym w:font="Wingdings" w:char="F0E8"/>
      </w:r>
      <w:r w:rsidR="0092607C" w:rsidRPr="002A7CA4">
        <w:rPr>
          <w:rFonts w:ascii="Verdana" w:hAnsi="Verdana" w:cs="Courier New"/>
          <w:sz w:val="20"/>
          <w:szCs w:val="20"/>
        </w:rPr>
        <w:t xml:space="preserve"> </w:t>
      </w:r>
      <w:r w:rsidR="00A8409A" w:rsidRPr="002A7CA4">
        <w:rPr>
          <w:rFonts w:ascii="Verdana" w:hAnsi="Verdana" w:cs="Courier New"/>
          <w:sz w:val="20"/>
          <w:szCs w:val="20"/>
        </w:rPr>
        <w:t>Die Durchführung von Feststellungsverfahren aufgrund eines</w:t>
      </w:r>
      <w:r w:rsidR="002A7CA4" w:rsidRPr="002A7CA4">
        <w:rPr>
          <w:rFonts w:ascii="Verdana" w:hAnsi="Verdana" w:cs="Courier New"/>
          <w:sz w:val="20"/>
          <w:szCs w:val="20"/>
        </w:rPr>
        <w:t xml:space="preserve"> </w:t>
      </w:r>
      <w:r w:rsidR="00A8409A" w:rsidRPr="002A7CA4">
        <w:rPr>
          <w:rFonts w:ascii="Verdana" w:hAnsi="Verdana" w:cs="Courier New"/>
          <w:sz w:val="20"/>
          <w:szCs w:val="20"/>
        </w:rPr>
        <w:t>anstehenden Schul- oder Schul</w:t>
      </w:r>
      <w:r w:rsidR="0092607C" w:rsidRPr="002A7CA4">
        <w:rPr>
          <w:rFonts w:ascii="Verdana" w:hAnsi="Verdana" w:cs="Courier New"/>
          <w:sz w:val="20"/>
          <w:szCs w:val="20"/>
        </w:rPr>
        <w:t>form</w:t>
      </w:r>
      <w:r w:rsidR="00A8409A" w:rsidRPr="002A7CA4">
        <w:rPr>
          <w:rFonts w:ascii="Verdana" w:hAnsi="Verdana" w:cs="Courier New"/>
          <w:sz w:val="20"/>
          <w:szCs w:val="20"/>
        </w:rPr>
        <w:t>wechsels entfällt.</w:t>
      </w:r>
    </w:p>
    <w:p w14:paraId="2B878D45" w14:textId="77777777" w:rsidR="00806BA9" w:rsidRPr="00806BA9" w:rsidRDefault="00806BA9" w:rsidP="00806BA9">
      <w:pPr>
        <w:pStyle w:val="Listenabsatz"/>
        <w:rPr>
          <w:rFonts w:ascii="Verdana" w:hAnsi="Verdana" w:cs="Courier New"/>
          <w:sz w:val="20"/>
          <w:szCs w:val="20"/>
        </w:rPr>
      </w:pPr>
    </w:p>
    <w:p w14:paraId="4A487C57" w14:textId="36329EB0" w:rsidR="00FF55E2" w:rsidRDefault="00806BA9" w:rsidP="00613C16">
      <w:pPr>
        <w:pStyle w:val="Listenabsatz"/>
        <w:numPr>
          <w:ilvl w:val="0"/>
          <w:numId w:val="2"/>
        </w:numPr>
        <w:tabs>
          <w:tab w:val="left" w:pos="3664"/>
        </w:tabs>
        <w:rPr>
          <w:rFonts w:ascii="Verdana" w:hAnsi="Verdana" w:cs="Courier New"/>
          <w:sz w:val="20"/>
          <w:szCs w:val="20"/>
        </w:rPr>
      </w:pPr>
      <w:r w:rsidRPr="002A7CA4">
        <w:rPr>
          <w:rFonts w:ascii="Verdana" w:hAnsi="Verdana" w:cs="Courier New"/>
          <w:sz w:val="20"/>
          <w:szCs w:val="20"/>
        </w:rPr>
        <w:t>Nach Erwerb des Hauptschulabschlusses teilt die Schule der nachgeordneten Behörde den entsprechenden Beschluss der ZK unverzüglich mit. In diesem Fall hebt diese dann den Bedarf an sonderpädagogischer Unterstützung im Bereich Lernen auf.</w:t>
      </w:r>
    </w:p>
    <w:p w14:paraId="1AA03752" w14:textId="77777777" w:rsidR="00A95767" w:rsidRPr="00A95767" w:rsidRDefault="00A95767" w:rsidP="00A95767">
      <w:pPr>
        <w:pStyle w:val="Listenabsatz"/>
        <w:rPr>
          <w:rFonts w:ascii="Verdana" w:hAnsi="Verdana" w:cs="Courier New"/>
          <w:sz w:val="20"/>
          <w:szCs w:val="20"/>
        </w:rPr>
      </w:pPr>
    </w:p>
    <w:p w14:paraId="4EFEA8D8" w14:textId="77777777" w:rsidR="00A95767" w:rsidRPr="00613C16" w:rsidRDefault="00A95767" w:rsidP="00A95767">
      <w:pPr>
        <w:pStyle w:val="Listenabsatz"/>
        <w:tabs>
          <w:tab w:val="left" w:pos="3664"/>
        </w:tabs>
        <w:rPr>
          <w:rFonts w:ascii="Verdana" w:hAnsi="Verdana" w:cs="Courier New"/>
          <w:sz w:val="20"/>
          <w:szCs w:val="20"/>
        </w:rPr>
      </w:pPr>
    </w:p>
    <w:p w14:paraId="260E75B1" w14:textId="77777777" w:rsidR="00FF55E2" w:rsidRPr="00FF55E2" w:rsidRDefault="00FF55E2" w:rsidP="00FF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0F6EA7B" w14:textId="596B344D" w:rsidR="002F3761" w:rsidRPr="002A7CA4" w:rsidRDefault="002F3761" w:rsidP="002F3761">
      <w:pPr>
        <w:rPr>
          <w:rFonts w:ascii="Verdana" w:hAnsi="Verdana"/>
          <w:b/>
          <w:bCs/>
          <w:sz w:val="20"/>
          <w:szCs w:val="20"/>
        </w:rPr>
      </w:pPr>
      <w:r w:rsidRPr="002A7CA4">
        <w:rPr>
          <w:rFonts w:ascii="Verdana" w:hAnsi="Verdana"/>
          <w:b/>
          <w:bCs/>
          <w:sz w:val="20"/>
          <w:szCs w:val="20"/>
        </w:rPr>
        <w:t>neue Formblätter:</w:t>
      </w:r>
    </w:p>
    <w:p w14:paraId="35FA16FC" w14:textId="56508C10" w:rsidR="002F3761" w:rsidRDefault="002F3761" w:rsidP="002F3761">
      <w:pPr>
        <w:rPr>
          <w:rFonts w:ascii="Verdana" w:hAnsi="Verdana"/>
          <w:sz w:val="20"/>
          <w:szCs w:val="20"/>
        </w:rPr>
      </w:pPr>
    </w:p>
    <w:p w14:paraId="6B1A211E" w14:textId="033CFC35" w:rsidR="002F3761" w:rsidRDefault="003E6276" w:rsidP="002F3761">
      <w:pPr>
        <w:rPr>
          <w:rFonts w:ascii="Verdana" w:hAnsi="Verdana" w:cs="Courier New"/>
          <w:sz w:val="20"/>
          <w:szCs w:val="20"/>
        </w:rPr>
      </w:pPr>
      <w:hyperlink r:id="rId8" w:history="1">
        <w:r w:rsidR="002A7CA4" w:rsidRPr="00647823">
          <w:rPr>
            <w:rStyle w:val="Hyperlink"/>
            <w:rFonts w:ascii="Verdana" w:hAnsi="Verdana" w:cs="Courier New"/>
            <w:sz w:val="20"/>
            <w:szCs w:val="20"/>
          </w:rPr>
          <w:t>https://www.rlsb.de/themen/schulorganisation/inklusion/feststellung/feststellung-des-sonderpaedagogischen-unterstuetzungsbedarfs</w:t>
        </w:r>
      </w:hyperlink>
    </w:p>
    <w:p w14:paraId="6868D29F" w14:textId="47FAF8DF" w:rsidR="002A7CA4" w:rsidRDefault="002A7CA4" w:rsidP="002F3761">
      <w:pPr>
        <w:rPr>
          <w:rFonts w:ascii="Verdana" w:hAnsi="Verdana" w:cs="Courier New"/>
          <w:sz w:val="20"/>
          <w:szCs w:val="20"/>
        </w:rPr>
      </w:pPr>
    </w:p>
    <w:p w14:paraId="022A5FB4" w14:textId="77777777" w:rsidR="00613C16" w:rsidRDefault="00613C16" w:rsidP="002F3761">
      <w:pPr>
        <w:rPr>
          <w:rFonts w:ascii="Verdana" w:hAnsi="Verdana" w:cs="Courier New"/>
          <w:sz w:val="20"/>
          <w:szCs w:val="20"/>
        </w:rPr>
      </w:pPr>
    </w:p>
    <w:p w14:paraId="56853E6F" w14:textId="6E6390DA" w:rsidR="001C55EE" w:rsidRPr="001C55EE" w:rsidRDefault="001C55EE" w:rsidP="00B27E3E">
      <w:pPr>
        <w:pStyle w:val="Listenabsatz"/>
        <w:rPr>
          <w:rFonts w:ascii="Verdana" w:hAnsi="Verdana" w:cs="Courier New"/>
          <w:sz w:val="20"/>
          <w:szCs w:val="20"/>
        </w:rPr>
      </w:pPr>
    </w:p>
    <w:sectPr w:rsidR="001C55EE" w:rsidRPr="001C55EE" w:rsidSect="00D47BB5">
      <w:footerReference w:type="default" r:id="rId9"/>
      <w:pgSz w:w="11906" w:h="16838" w:code="9"/>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F0A0" w14:textId="77777777" w:rsidR="003E6276" w:rsidRDefault="003E6276" w:rsidP="00613C16">
      <w:r>
        <w:separator/>
      </w:r>
    </w:p>
  </w:endnote>
  <w:endnote w:type="continuationSeparator" w:id="0">
    <w:p w14:paraId="0BE36294" w14:textId="77777777" w:rsidR="003E6276" w:rsidRDefault="003E6276" w:rsidP="0061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622639"/>
      <w:docPartObj>
        <w:docPartGallery w:val="Page Numbers (Bottom of Page)"/>
        <w:docPartUnique/>
      </w:docPartObj>
    </w:sdtPr>
    <w:sdtContent>
      <w:p w14:paraId="19DBC829" w14:textId="047DD6B9" w:rsidR="00613C16" w:rsidRDefault="00613C16">
        <w:pPr>
          <w:pStyle w:val="Fuzeile"/>
          <w:jc w:val="right"/>
        </w:pPr>
        <w:r>
          <w:fldChar w:fldCharType="begin"/>
        </w:r>
        <w:r>
          <w:instrText>PAGE   \* MERGEFORMAT</w:instrText>
        </w:r>
        <w:r>
          <w:fldChar w:fldCharType="separate"/>
        </w:r>
        <w:r>
          <w:t>2</w:t>
        </w:r>
        <w:r>
          <w:fldChar w:fldCharType="end"/>
        </w:r>
      </w:p>
    </w:sdtContent>
  </w:sdt>
  <w:p w14:paraId="5766271A" w14:textId="77777777" w:rsidR="00613C16" w:rsidRDefault="00613C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AA99" w14:textId="77777777" w:rsidR="003E6276" w:rsidRDefault="003E6276" w:rsidP="00613C16">
      <w:r>
        <w:separator/>
      </w:r>
    </w:p>
  </w:footnote>
  <w:footnote w:type="continuationSeparator" w:id="0">
    <w:p w14:paraId="22993DFB" w14:textId="77777777" w:rsidR="003E6276" w:rsidRDefault="003E6276" w:rsidP="00613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BD3"/>
    <w:multiLevelType w:val="hybridMultilevel"/>
    <w:tmpl w:val="BB7ABFE0"/>
    <w:lvl w:ilvl="0" w:tplc="AF361AAC">
      <w:start w:val="3"/>
      <w:numFmt w:val="bullet"/>
      <w:lvlText w:val=""/>
      <w:lvlJc w:val="left"/>
      <w:pPr>
        <w:ind w:left="1080" w:hanging="360"/>
      </w:pPr>
      <w:rPr>
        <w:rFonts w:ascii="Wingdings" w:eastAsia="Times New Roman" w:hAnsi="Wingdings"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6006767"/>
    <w:multiLevelType w:val="hybridMultilevel"/>
    <w:tmpl w:val="655E2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2B5EA4"/>
    <w:multiLevelType w:val="hybridMultilevel"/>
    <w:tmpl w:val="7626F402"/>
    <w:lvl w:ilvl="0" w:tplc="3FACFBAA">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0546A24"/>
    <w:multiLevelType w:val="hybridMultilevel"/>
    <w:tmpl w:val="5DA4FA6C"/>
    <w:lvl w:ilvl="0" w:tplc="AFCA8602">
      <w:start w:val="3"/>
      <w:numFmt w:val="bullet"/>
      <w:lvlText w:val=""/>
      <w:lvlJc w:val="left"/>
      <w:pPr>
        <w:ind w:left="720" w:hanging="360"/>
      </w:pPr>
      <w:rPr>
        <w:rFonts w:ascii="Wingdings" w:eastAsia="Times New Roman"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9516D"/>
    <w:multiLevelType w:val="hybridMultilevel"/>
    <w:tmpl w:val="09905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9C3D88"/>
    <w:multiLevelType w:val="hybridMultilevel"/>
    <w:tmpl w:val="82465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92133C"/>
    <w:multiLevelType w:val="hybridMultilevel"/>
    <w:tmpl w:val="2E9699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680C7E"/>
    <w:multiLevelType w:val="hybridMultilevel"/>
    <w:tmpl w:val="CF6CD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5"/>
  </w:num>
  <w:num w:numId="8">
    <w:abstractNumId w:val="2"/>
  </w:num>
  <w:num w:numId="9">
    <w:abstractNumId w:val="5"/>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3E38"/>
    <w:rsid w:val="0000483D"/>
    <w:rsid w:val="00015AC9"/>
    <w:rsid w:val="000D56FB"/>
    <w:rsid w:val="00103695"/>
    <w:rsid w:val="00130DF0"/>
    <w:rsid w:val="001537D0"/>
    <w:rsid w:val="00156EBA"/>
    <w:rsid w:val="00191854"/>
    <w:rsid w:val="00197551"/>
    <w:rsid w:val="001C55EE"/>
    <w:rsid w:val="001F74F4"/>
    <w:rsid w:val="00210C78"/>
    <w:rsid w:val="00297EE2"/>
    <w:rsid w:val="002A7CA4"/>
    <w:rsid w:val="002F3761"/>
    <w:rsid w:val="00323E38"/>
    <w:rsid w:val="00355A94"/>
    <w:rsid w:val="00396958"/>
    <w:rsid w:val="003E6276"/>
    <w:rsid w:val="004301F7"/>
    <w:rsid w:val="004B02C1"/>
    <w:rsid w:val="004F29CB"/>
    <w:rsid w:val="0050106D"/>
    <w:rsid w:val="005F0BE8"/>
    <w:rsid w:val="00613C16"/>
    <w:rsid w:val="00620F7E"/>
    <w:rsid w:val="0064406B"/>
    <w:rsid w:val="00675CBE"/>
    <w:rsid w:val="00714FB0"/>
    <w:rsid w:val="00792B4C"/>
    <w:rsid w:val="007B1D5A"/>
    <w:rsid w:val="00806BA9"/>
    <w:rsid w:val="00863A1F"/>
    <w:rsid w:val="0092607C"/>
    <w:rsid w:val="00994236"/>
    <w:rsid w:val="009F65ED"/>
    <w:rsid w:val="00A01E82"/>
    <w:rsid w:val="00A176B1"/>
    <w:rsid w:val="00A35238"/>
    <w:rsid w:val="00A75715"/>
    <w:rsid w:val="00A8409A"/>
    <w:rsid w:val="00A95767"/>
    <w:rsid w:val="00AB4DA8"/>
    <w:rsid w:val="00AE06E7"/>
    <w:rsid w:val="00B27E3E"/>
    <w:rsid w:val="00BD214D"/>
    <w:rsid w:val="00BD3522"/>
    <w:rsid w:val="00C0303F"/>
    <w:rsid w:val="00C211DE"/>
    <w:rsid w:val="00C36DA0"/>
    <w:rsid w:val="00C45F67"/>
    <w:rsid w:val="00CC1FD3"/>
    <w:rsid w:val="00D2111C"/>
    <w:rsid w:val="00D44003"/>
    <w:rsid w:val="00D47BB5"/>
    <w:rsid w:val="00D51558"/>
    <w:rsid w:val="00D72F9F"/>
    <w:rsid w:val="00D92093"/>
    <w:rsid w:val="00DC2186"/>
    <w:rsid w:val="00E41CF6"/>
    <w:rsid w:val="00E9373A"/>
    <w:rsid w:val="00EA32B4"/>
    <w:rsid w:val="00EC5F40"/>
    <w:rsid w:val="00ED4964"/>
    <w:rsid w:val="00F17F0E"/>
    <w:rsid w:val="00F3595B"/>
    <w:rsid w:val="00F62AC8"/>
    <w:rsid w:val="00FF5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375D1"/>
  <w15:docId w15:val="{0A1438E2-F8F3-4E54-9AAD-D52F6F3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14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14FB0"/>
    <w:rPr>
      <w:color w:val="0000FF"/>
      <w:u w:val="single"/>
    </w:rPr>
  </w:style>
  <w:style w:type="paragraph" w:styleId="Sprechblasentext">
    <w:name w:val="Balloon Text"/>
    <w:basedOn w:val="Standard"/>
    <w:semiHidden/>
    <w:rsid w:val="00714FB0"/>
    <w:rPr>
      <w:rFonts w:ascii="Tahoma" w:hAnsi="Tahoma" w:cs="Tahoma"/>
      <w:sz w:val="16"/>
      <w:szCs w:val="16"/>
    </w:rPr>
  </w:style>
  <w:style w:type="paragraph" w:styleId="Listenabsatz">
    <w:name w:val="List Paragraph"/>
    <w:basedOn w:val="Standard"/>
    <w:uiPriority w:val="34"/>
    <w:qFormat/>
    <w:rsid w:val="00323E38"/>
    <w:pPr>
      <w:ind w:left="720"/>
      <w:contextualSpacing/>
    </w:pPr>
  </w:style>
  <w:style w:type="paragraph" w:styleId="HTMLVorformatiert">
    <w:name w:val="HTML Preformatted"/>
    <w:basedOn w:val="Standard"/>
    <w:link w:val="HTMLVorformatiertZchn"/>
    <w:uiPriority w:val="99"/>
    <w:semiHidden/>
    <w:unhideWhenUsed/>
    <w:rsid w:val="002F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2F3761"/>
    <w:rPr>
      <w:rFonts w:ascii="Courier New" w:hAnsi="Courier New" w:cs="Courier New"/>
    </w:rPr>
  </w:style>
  <w:style w:type="character" w:styleId="NichtaufgelsteErwhnung">
    <w:name w:val="Unresolved Mention"/>
    <w:basedOn w:val="Absatz-Standardschriftart"/>
    <w:uiPriority w:val="99"/>
    <w:semiHidden/>
    <w:unhideWhenUsed/>
    <w:rsid w:val="002A7CA4"/>
    <w:rPr>
      <w:color w:val="605E5C"/>
      <w:shd w:val="clear" w:color="auto" w:fill="E1DFDD"/>
    </w:rPr>
  </w:style>
  <w:style w:type="paragraph" w:styleId="Kopfzeile">
    <w:name w:val="header"/>
    <w:basedOn w:val="Standard"/>
    <w:link w:val="KopfzeileZchn"/>
    <w:uiPriority w:val="99"/>
    <w:unhideWhenUsed/>
    <w:rsid w:val="00613C16"/>
    <w:pPr>
      <w:tabs>
        <w:tab w:val="center" w:pos="4536"/>
        <w:tab w:val="right" w:pos="9072"/>
      </w:tabs>
    </w:pPr>
  </w:style>
  <w:style w:type="character" w:customStyle="1" w:styleId="KopfzeileZchn">
    <w:name w:val="Kopfzeile Zchn"/>
    <w:basedOn w:val="Absatz-Standardschriftart"/>
    <w:link w:val="Kopfzeile"/>
    <w:uiPriority w:val="99"/>
    <w:rsid w:val="00613C16"/>
    <w:rPr>
      <w:sz w:val="24"/>
      <w:szCs w:val="24"/>
    </w:rPr>
  </w:style>
  <w:style w:type="paragraph" w:styleId="Fuzeile">
    <w:name w:val="footer"/>
    <w:basedOn w:val="Standard"/>
    <w:link w:val="FuzeileZchn"/>
    <w:uiPriority w:val="99"/>
    <w:unhideWhenUsed/>
    <w:rsid w:val="00613C16"/>
    <w:pPr>
      <w:tabs>
        <w:tab w:val="center" w:pos="4536"/>
        <w:tab w:val="right" w:pos="9072"/>
      </w:tabs>
    </w:pPr>
  </w:style>
  <w:style w:type="character" w:customStyle="1" w:styleId="FuzeileZchn">
    <w:name w:val="Fußzeile Zchn"/>
    <w:basedOn w:val="Absatz-Standardschriftart"/>
    <w:link w:val="Fuzeile"/>
    <w:uiPriority w:val="99"/>
    <w:rsid w:val="00613C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0085">
      <w:bodyDiv w:val="1"/>
      <w:marLeft w:val="0"/>
      <w:marRight w:val="0"/>
      <w:marTop w:val="0"/>
      <w:marBottom w:val="0"/>
      <w:divBdr>
        <w:top w:val="none" w:sz="0" w:space="0" w:color="auto"/>
        <w:left w:val="none" w:sz="0" w:space="0" w:color="auto"/>
        <w:bottom w:val="none" w:sz="0" w:space="0" w:color="auto"/>
        <w:right w:val="none" w:sz="0" w:space="0" w:color="auto"/>
      </w:divBdr>
    </w:div>
    <w:div w:id="9920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lsb.de/themen/schulorganisation/inklusion/feststellung/feststellung-des-sonderpaedagogischen-unterstuetzungsbedarf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Kastenschmidt\AppData\Roaming\Microsoft\Templates\EKS%20logo%20Brie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EKS logo Brief</Template>
  <TotalTime>0</TotalTime>
  <Pages>2</Pages>
  <Words>579</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Starfleet Headquarter</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Anke.Kastenschmidt</dc:creator>
  <cp:lastModifiedBy>Anke.Kastenschmidt</cp:lastModifiedBy>
  <cp:revision>3</cp:revision>
  <cp:lastPrinted>2022-01-10T19:51:00Z</cp:lastPrinted>
  <dcterms:created xsi:type="dcterms:W3CDTF">2022-01-10T20:09:00Z</dcterms:created>
  <dcterms:modified xsi:type="dcterms:W3CDTF">2022-01-10T20:10:00Z</dcterms:modified>
</cp:coreProperties>
</file>